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D0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ALPHAⅡ 傅里叶红外光谱仪</w:t>
      </w:r>
    </w:p>
    <w:p w14:paraId="29655AB0">
      <w:pPr>
        <w:rPr>
          <w:rFonts w:hint="default" w:ascii="Arial" w:hAnsi="Arial" w:eastAsia="宋体" w:cs="Arial"/>
          <w:b/>
          <w:bCs/>
          <w:i w:val="0"/>
          <w:iCs w:val="0"/>
          <w:caps w:val="0"/>
          <w:color w:val="31859C" w:themeColor="accent5" w:themeShade="B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1859C" w:themeColor="accent5" w:themeShade="BF"/>
          <w:spacing w:val="0"/>
          <w:sz w:val="24"/>
          <w:szCs w:val="24"/>
          <w:shd w:val="clear" w:fill="FFFFFF"/>
          <w:lang w:val="en-US" w:eastAsia="zh-CN"/>
        </w:rPr>
        <w:t>品牌：</w:t>
      </w:r>
      <w:r>
        <w:rPr>
          <w:rFonts w:ascii="Arial" w:hAnsi="Arial" w:eastAsia="宋体" w:cs="Arial"/>
          <w:b/>
          <w:bCs/>
          <w:i w:val="0"/>
          <w:iCs w:val="0"/>
          <w:caps w:val="0"/>
          <w:color w:val="31859C" w:themeColor="accent5" w:themeShade="BF"/>
          <w:spacing w:val="0"/>
          <w:sz w:val="24"/>
          <w:szCs w:val="24"/>
          <w:shd w:val="clear" w:fill="FFFFFF"/>
        </w:rPr>
        <w:t>德国Bruker</w:t>
      </w:r>
    </w:p>
    <w:p w14:paraId="14FFB437">
      <w:pPr>
        <w:rPr>
          <w:rFonts w:ascii="Arial"/>
          <w:sz w:val="21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311150</wp:posOffset>
            </wp:positionV>
            <wp:extent cx="5604510" cy="3200400"/>
            <wp:effectExtent l="0" t="0" r="5715" b="0"/>
            <wp:wrapTopAndBottom/>
            <wp:docPr id="1" name="图片 1" descr="C:/Users/ZhuanZ（无密码）/Desktop/ALPHA II 傅立叶变换红外光谱仪.pngALPHA II 傅立叶变换红外光谱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ZhuanZ（无密码）/Desktop/ALPHA II 傅立叶变换红外光谱仪.pngALPHA II 傅立叶变换红外光谱仪"/>
                    <pic:cNvPicPr>
                      <a:picLocks noChangeAspect="1"/>
                    </pic:cNvPicPr>
                  </pic:nvPicPr>
                  <pic:blipFill>
                    <a:blip r:embed="rId8"/>
                    <a:srcRect t="9217" b="9217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57CE3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</w:p>
    <w:p w14:paraId="151D55AC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ALPHAII 是一款紧凑型FT-IR光谱仪，占地面积与笔记本电脑一样大。它用于化学分析，使您能够对原材料进行质量控制、定量和验证。</w:t>
      </w:r>
    </w:p>
    <w:p w14:paraId="6ECAA95F">
      <w:pPr>
        <w:pStyle w:val="2"/>
        <w:keepNext w:val="0"/>
        <w:keepLines w:val="0"/>
        <w:widowControl/>
        <w:suppressLineNumbers w:val="0"/>
        <w:shd w:val="clear" w:fill="FFFFFF"/>
        <w:spacing w:after="495" w:afterAutospacing="0" w:line="315" w:lineRule="atLeast"/>
        <w:ind w:left="0" w:firstLine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3175" b="317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应用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ALPHA II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4D7D2E82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>聚合物</w:t>
      </w:r>
    </w:p>
    <w:p w14:paraId="53B2992F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ALPHA II 广泛应用于聚合物行业。ALPHA II 可以用来检查原材料、测试成品并调查涂层。ALPHA II 的最大优势是可以使用布鲁克专用、最新且随时即用的方法来识别和表征最近推出的聚合物和填料。</w:t>
      </w:r>
    </w:p>
    <w:p w14:paraId="07D9D676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 xml:space="preserve">药物 </w:t>
      </w:r>
    </w:p>
    <w:p w14:paraId="63F90C15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布鲁克在早期已经决定设计为只要用户开发软件，同时考虑到制药公司的需求。因此，OPUS 和 OPUS Touch 遵循 ALCOA® 原则，100% 符合所有主要药典，包括中国药典和美国联邦法规21章第11款。无论是本地还是服务器上，ALPHA II 都可确保数据的完整性和安全性。</w:t>
      </w:r>
    </w:p>
    <w:p w14:paraId="52010D1A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</w:p>
    <w:p w14:paraId="31E9EE80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</w:p>
    <w:p w14:paraId="3D29AF97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>工业制造与汽车行业</w:t>
      </w:r>
    </w:p>
    <w:p w14:paraId="0561CA1D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eastAsia"/>
          <w:spacing w:val="9"/>
          <w:sz w:val="28"/>
          <w:szCs w:val="28"/>
          <w:lang w:eastAsia="zh-CN"/>
        </w:rPr>
      </w:pPr>
      <w:r>
        <w:rPr>
          <w:rFonts w:hint="default"/>
          <w:spacing w:val="9"/>
          <w:sz w:val="28"/>
          <w:szCs w:val="28"/>
        </w:rPr>
        <w:t>红外光谱是工业应用中的决定性工具，无论是自动化、在线、离线还是手动的应用。ALPHA II 用于研究涂料、废油、成品等</w:t>
      </w:r>
      <w:r>
        <w:rPr>
          <w:rFonts w:hint="eastAsia"/>
          <w:spacing w:val="9"/>
          <w:sz w:val="28"/>
          <w:szCs w:val="28"/>
          <w:lang w:eastAsia="zh-CN"/>
        </w:rPr>
        <w:t>。</w:t>
      </w:r>
    </w:p>
    <w:p w14:paraId="5A49992E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>教学</w:t>
      </w:r>
    </w:p>
    <w:p w14:paraId="48501695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eastAsia"/>
          <w:spacing w:val="9"/>
          <w:sz w:val="28"/>
          <w:szCs w:val="28"/>
          <w:lang w:eastAsia="zh-CN"/>
        </w:rPr>
      </w:pPr>
      <w:r>
        <w:rPr>
          <w:rFonts w:hint="default"/>
          <w:spacing w:val="9"/>
          <w:sz w:val="28"/>
          <w:szCs w:val="28"/>
        </w:rPr>
        <w:t>ALPHA II 是 FT-IR 光谱学的最现代方法。可选的触摸PC让学生对科学产生兴趣。坚固耐用、免维护的特点让它能够承受最恶劣的化学教学实验室</w:t>
      </w:r>
      <w:r>
        <w:rPr>
          <w:rFonts w:hint="eastAsia"/>
          <w:spacing w:val="9"/>
          <w:sz w:val="28"/>
          <w:szCs w:val="28"/>
          <w:lang w:eastAsia="zh-CN"/>
        </w:rPr>
        <w:t>。</w:t>
      </w:r>
    </w:p>
    <w:p w14:paraId="582B238C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>定量</w:t>
      </w:r>
    </w:p>
    <w:p w14:paraId="39D533F0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适用的附件和工具包让 ALPHA II 成为定量分析的强大红外光谱仪。他可以用来检查酒精中的微量水、原料药检测、甚至镶花地板中残留的氨。定量方法助于报告和结果记录。</w:t>
      </w:r>
    </w:p>
    <w:p w14:paraId="62273801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>饮食</w:t>
      </w:r>
    </w:p>
    <w:p w14:paraId="3451E56D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作为可靠的葡萄酒、果酱和果汁的分析仪，ALPHA II 已在世界各地得到了广泛的应用。</w:t>
      </w:r>
    </w:p>
    <w:p w14:paraId="30097927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它以高效、快速和经济的方式分析糖、酒精和其他成分。它还用于 FOA（异物分析）来识别加工或包装食品中的未知污染</w:t>
      </w:r>
    </w:p>
    <w:p w14:paraId="61AA0FE5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>法医药物分析</w:t>
      </w:r>
    </w:p>
    <w:p w14:paraId="408FABC9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用于药物分析的</w:t>
      </w:r>
      <w:r>
        <w:rPr>
          <w:rFonts w:hint="default"/>
          <w:spacing w:val="9"/>
          <w:sz w:val="28"/>
          <w:szCs w:val="28"/>
        </w:rPr>
        <w:fldChar w:fldCharType="begin"/>
      </w:r>
      <w:r>
        <w:rPr>
          <w:rFonts w:hint="default"/>
          <w:spacing w:val="9"/>
          <w:sz w:val="28"/>
          <w:szCs w:val="28"/>
        </w:rPr>
        <w:instrText xml:space="preserve"> HYPERLINK "https://www.tictac.org.uk/" </w:instrText>
      </w:r>
      <w:r>
        <w:rPr>
          <w:rFonts w:hint="default"/>
          <w:spacing w:val="9"/>
          <w:sz w:val="28"/>
          <w:szCs w:val="28"/>
        </w:rPr>
        <w:fldChar w:fldCharType="separate"/>
      </w:r>
      <w:r>
        <w:rPr>
          <w:rFonts w:hint="default"/>
          <w:spacing w:val="9"/>
          <w:sz w:val="28"/>
          <w:szCs w:val="28"/>
        </w:rPr>
        <w:t>TICTAC</w:t>
      </w:r>
      <w:r>
        <w:rPr>
          <w:rFonts w:hint="default"/>
          <w:spacing w:val="9"/>
          <w:sz w:val="28"/>
          <w:szCs w:val="28"/>
        </w:rPr>
        <w:fldChar w:fldCharType="end"/>
      </w:r>
      <w:r>
        <w:rPr>
          <w:rFonts w:hint="default"/>
          <w:spacing w:val="9"/>
          <w:sz w:val="28"/>
          <w:szCs w:val="28"/>
        </w:rPr>
        <w:t>光谱库包含传统和新引入的药物和非法物质。该库中的所有光谱及其更新都用ALPHA记录，以确保高光谱质量。因为ALPHA的便携性可在作业地点之间快速移动，因此，对于警察、边境管制或处理非法物质的政府机构来说是一个很好的工具。</w:t>
      </w:r>
    </w:p>
    <w:p w14:paraId="5F49614C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>艺术品和珠宝</w:t>
      </w:r>
    </w:p>
    <w:p w14:paraId="1C02CF07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历史艺术品和珠宝有一个共同点：两者都是珍贵的物品。ALPHA II 用于修复历史绘画、建筑和艺术品，也是钻石和其他宝石鉴定和类型分类的经济型工具。</w:t>
      </w:r>
    </w:p>
    <w:p w14:paraId="572D26EF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</w:p>
    <w:p w14:paraId="050E1AAB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</w:p>
    <w:p w14:paraId="26BF1CCB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</w:p>
    <w:p w14:paraId="7B65E58C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>环境</w:t>
      </w:r>
    </w:p>
    <w:p w14:paraId="28B9E056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微塑料的分析是环境的主要应用之一。直径大于 500µm 的颗粒被放置在 ALPHA II上，并具有特殊的高压附件保证光谱质量。此外，ALPHA II 还用于分析和分类土壤以及其他环境污染物。</w:t>
      </w:r>
    </w:p>
    <w:p w14:paraId="2DCD9430">
      <w:pPr>
        <w:pStyle w:val="3"/>
        <w:numPr>
          <w:ilvl w:val="0"/>
          <w:numId w:val="0"/>
        </w:numPr>
        <w:spacing w:before="96" w:line="333" w:lineRule="auto"/>
        <w:rPr>
          <w:rFonts w:hint="default"/>
          <w:b/>
          <w:bCs/>
          <w:spacing w:val="9"/>
          <w:sz w:val="28"/>
          <w:szCs w:val="28"/>
        </w:rPr>
      </w:pPr>
      <w:r>
        <w:rPr>
          <w:rFonts w:hint="default"/>
          <w:b/>
          <w:bCs/>
          <w:spacing w:val="9"/>
          <w:sz w:val="28"/>
          <w:szCs w:val="28"/>
        </w:rPr>
        <w:t>润滑剂和废油</w:t>
      </w:r>
    </w:p>
    <w:p w14:paraId="031E3060">
      <w:pPr>
        <w:pStyle w:val="3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FT-IR光谱（和ALPHA II）也用于评估油的质量，并确定典型的油参数，如烟尘/水/燃料含量、降解产物的累积，当然还有所用润滑剂的整体质量。这有助于防止发动机损坏或机械严重故障。</w:t>
      </w:r>
    </w:p>
    <w:p w14:paraId="17CD285F">
      <w:pPr>
        <w:pStyle w:val="2"/>
        <w:keepNext w:val="0"/>
        <w:keepLines w:val="0"/>
        <w:widowControl/>
        <w:suppressLineNumbers w:val="0"/>
        <w:shd w:val="clear" w:fill="FFFFFF"/>
        <w:spacing w:after="495" w:afterAutospacing="0" w:line="315" w:lineRule="atLeast"/>
        <w:ind w:left="0"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3175" b="3175"/>
            <wp:docPr id="28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技术参数</w:t>
      </w:r>
    </w:p>
    <w:p w14:paraId="1CBCA2CD">
      <w:pPr>
        <w:pStyle w:val="3"/>
        <w:numPr>
          <w:ilvl w:val="0"/>
          <w:numId w:val="1"/>
        </w:numPr>
        <w:spacing w:before="96" w:line="333" w:lineRule="auto"/>
        <w:ind w:left="0" w:leftChars="0" w:firstLine="199" w:firstLineChars="67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带OPUS-TOUCH软件的触摸屏电脑</w:t>
      </w:r>
    </w:p>
    <w:p w14:paraId="7746F17D">
      <w:pPr>
        <w:pStyle w:val="3"/>
        <w:numPr>
          <w:ilvl w:val="0"/>
          <w:numId w:val="1"/>
        </w:numPr>
        <w:spacing w:before="96" w:line="333" w:lineRule="auto"/>
        <w:ind w:left="0" w:leftChars="0" w:firstLine="199" w:firstLineChars="67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CenterGlowM红外光源，保证持续的高发射量</w:t>
      </w:r>
    </w:p>
    <w:p w14:paraId="08D5498C">
      <w:pPr>
        <w:pStyle w:val="3"/>
        <w:numPr>
          <w:ilvl w:val="0"/>
          <w:numId w:val="1"/>
        </w:numPr>
        <w:spacing w:before="96" w:line="333" w:lineRule="auto"/>
        <w:ind w:left="0" w:leftChars="0" w:firstLine="199" w:firstLineChars="67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内部验证单元与认证参考标准</w:t>
      </w:r>
    </w:p>
    <w:p w14:paraId="2EA1C9FE">
      <w:pPr>
        <w:pStyle w:val="3"/>
        <w:numPr>
          <w:ilvl w:val="0"/>
          <w:numId w:val="1"/>
        </w:numPr>
        <w:spacing w:before="96" w:line="333" w:lineRule="auto"/>
        <w:ind w:left="0" w:leftChars="0" w:firstLine="199" w:firstLineChars="67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永久准直的RockSolidTM干涉仪</w:t>
      </w:r>
    </w:p>
    <w:p w14:paraId="491C8B92">
      <w:pPr>
        <w:pStyle w:val="3"/>
        <w:numPr>
          <w:ilvl w:val="0"/>
          <w:numId w:val="1"/>
        </w:numPr>
        <w:spacing w:before="96" w:line="333" w:lineRule="auto"/>
        <w:ind w:left="0" w:leftChars="0" w:firstLine="199" w:firstLineChars="67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温度稳定DTGS检测器</w:t>
      </w:r>
    </w:p>
    <w:p w14:paraId="1F69D492">
      <w:pPr>
        <w:pStyle w:val="3"/>
        <w:numPr>
          <w:ilvl w:val="0"/>
          <w:numId w:val="1"/>
        </w:numPr>
        <w:spacing w:before="96" w:line="333" w:lineRule="auto"/>
        <w:ind w:left="0" w:leftChars="0" w:firstLine="199" w:firstLineChars="67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可更换QuickSnapTM采样模块</w:t>
      </w:r>
    </w:p>
    <w:p w14:paraId="5310DB93">
      <w:pPr>
        <w:pStyle w:val="3"/>
        <w:numPr>
          <w:ilvl w:val="0"/>
          <w:numId w:val="1"/>
        </w:numPr>
        <w:spacing w:before="96" w:line="333" w:lineRule="auto"/>
        <w:ind w:left="0" w:leftChars="0" w:firstLine="199" w:firstLineChars="67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Platinum-ATR具有耐用的纯金刚石晶体</w:t>
      </w:r>
    </w:p>
    <w:p w14:paraId="26E5D4C9">
      <w:pPr>
        <w:pStyle w:val="3"/>
        <w:numPr>
          <w:ilvl w:val="0"/>
          <w:numId w:val="1"/>
        </w:numPr>
        <w:spacing w:before="96" w:line="333" w:lineRule="auto"/>
        <w:ind w:left="0" w:leftChars="0" w:firstLine="199" w:firstLineChars="67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坚固耐用的金属外壳</w:t>
      </w:r>
    </w:p>
    <w:p w14:paraId="340ED308">
      <w:pPr>
        <w:rPr>
          <w:rFonts w:hint="eastAsia"/>
          <w:lang w:val="en-US" w:eastAsia="zh-CN"/>
        </w:rPr>
      </w:pPr>
    </w:p>
    <w:p w14:paraId="4043F190">
      <w:pPr>
        <w:rPr>
          <w:rFonts w:hint="default"/>
          <w:lang w:val="en-US" w:eastAsia="zh-CN"/>
        </w:rPr>
      </w:pPr>
    </w:p>
    <w:p w14:paraId="505B1683">
      <w:pPr>
        <w:pStyle w:val="3"/>
        <w:spacing w:before="96" w:line="333" w:lineRule="auto"/>
        <w:rPr>
          <w:rFonts w:hint="eastAsia"/>
          <w:spacing w:val="9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FPHeiW3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niver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1FDB8"/>
    <w:multiLevelType w:val="singleLevel"/>
    <w:tmpl w:val="4181FDB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09822F46"/>
    <w:rsid w:val="11A53B11"/>
    <w:rsid w:val="120B0362"/>
    <w:rsid w:val="125A70A8"/>
    <w:rsid w:val="14535FF1"/>
    <w:rsid w:val="19EC6CCB"/>
    <w:rsid w:val="1AC8208F"/>
    <w:rsid w:val="1C0E2307"/>
    <w:rsid w:val="234D45F8"/>
    <w:rsid w:val="30CA2FAE"/>
    <w:rsid w:val="38CE09C2"/>
    <w:rsid w:val="3E1F0B6E"/>
    <w:rsid w:val="3ECB718E"/>
    <w:rsid w:val="4A555101"/>
    <w:rsid w:val="50C80BF1"/>
    <w:rsid w:val="511E4CB5"/>
    <w:rsid w:val="52B23CBC"/>
    <w:rsid w:val="56466840"/>
    <w:rsid w:val="58093FC9"/>
    <w:rsid w:val="58302F8F"/>
    <w:rsid w:val="5A7A47C7"/>
    <w:rsid w:val="5AA62E48"/>
    <w:rsid w:val="5B2D4026"/>
    <w:rsid w:val="5D7506CA"/>
    <w:rsid w:val="67046310"/>
    <w:rsid w:val="68FC644B"/>
    <w:rsid w:val="6F5513CC"/>
    <w:rsid w:val="710F5299"/>
    <w:rsid w:val="777208E7"/>
    <w:rsid w:val="7A145D20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1003</Words>
  <Characters>1189</Characters>
  <TotalTime>18</TotalTime>
  <ScaleCrop>false</ScaleCrop>
  <LinksUpToDate>false</LinksUpToDate>
  <CharactersWithSpaces>1233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2025-12-28T11:34:28Z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eyJoZGlkIjoiM2FiZDIzMjBhYjY3YjcwYmIxYWI1NjM4YzVmYjEyMDMiLCJ1c2VySWQiOiIzNzEwMzU2MjgifQ==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2ED27B0BD12A4A85BB544B649423B962_13</vt:lpwstr>
  </property>
</Properties>
</file>